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222</w:t>
      </w:r>
    </w:p>
    <w:p>
      <w:r>
        <w:t>Bundesgericht (BGE), 1984-07-05, DE</w:t>
      </w:r>
    </w:p>
    <w:p>
      <w:r>
        <w:rPr>
          <w:b/>
        </w:rPr>
        <w:t xml:space="preserve">Quelle: </w:t>
      </w:r>
      <w:r>
        <w:t>https://mcp.opencaselaw.ch/entscheid/bge_110 V 222</w:t>
      </w:r>
    </w:p>
    <w:p>
      <w:r>
        <w:t>FR: ATF 110 V 222</w:t>
      </w:r>
    </w:p>
    <w:p>
      <w:r>
        <w:t>IT: DTF 110 V 222</w:t>
      </w:r>
    </w:p>
    <w:p>
      <w:pPr>
        <w:pStyle w:val="Heading2"/>
      </w:pPr>
      <w:r>
        <w:t>Regeste</w:t>
      </w:r>
    </w:p>
    <w:p>
      <w:r>
        <w:t>Regeste Art. 145 OG. Zulässigkeit eines Erläuterungsgesuchs.</w:t>
      </w:r>
    </w:p>
    <w:p>
      <w:pPr>
        <w:pStyle w:val="Heading2"/>
      </w:pPr>
      <w:r>
        <w:t>Erwägungen</w:t>
      </w:r>
    </w:p>
    <w:p>
      <w:r>
        <w:rPr>
          <w:b/>
        </w:rPr>
        <w:t>E. 1</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145 Abs. 1 OG ). Diese Regelung gilt laut Art. 135 OG in gleicher Weise für die Erläuterung oder Berichtigung von Entscheiden des Eidg. Versicherungsgerichts. Die Erläuterung dient dazu, Abhilfe zu schaffen, wenn die Entscheidformel (Dispositiv) unklar, unvollständig, zweideutig oder in sich widersprüchlich ist. Sie kann sich ferner auf Gegensätze zwischen den Entscheidungsgründen und dem Dispositiv beziehen (GYGI, Bundesverwaltungsrechtspflege, 2. Aufl., S. 228), nicht dagegen auf die Entscheidungsgründe als solche ( BGE 101 Ib 223 Erw. 3; SALADIN, Das Verwaltungsverfahrensrecht des Bundes, S. 216). Die Erwägungen unterliegen der Erläuterung nur, wenn und insoweit der Sinn der Entscheidformel (Dispositiv) erst durch Beizug der Entscheidungsgründe ermittelt werden kann ( BGE 104 V 53 Erw. 1 mit Hinweis; RSKV 1982 Nr. 479 S. 59 Erw. 1a). Die Erläuterung ist schliesslich dazu bestimmt, Redaktions-, blanke Rechnungsfehler oder Kanzleiversehen zu berichtigen ( BGE 99 V 64 Erw. 2; GYGI, a.a.O., S. 228 mit Hinweisen). Unzulässig sind anderseits Erläuterungsgesuche, die auf eine inhaltliche Abänderung der Entscheidung abzielen. Ebensowenig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BGE 110 V 222 S. 223 aufweist. Nicht dazu gehören namentlich Fragen, die vom Gericht nicht zu prüfen waren und über die es deshalb nicht zu entscheiden hatte (zu diesen Punkten vgl. BGE 104 V 55 oben, BGE 101 II 374 ; BIRCHMEIER, Bundesrechtspflege, S. 516; GULDENER, Schweiz. Zivilprozessrecht, 3. Aufl., S. 505 und 535; HAUSER/HAUSER, Erläuterungen zum Gerichtsverfassungsgesetz des Kantons Zürich, 3. Aufl., S. 588 und 590; WALDER-BOHNER, Zivilprozessrecht, 3. Aufl., S. 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